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ind w:left="2127"/>
        <w:jc w:val="both"/>
        <w:rPr>
          <w:lang w:val="de-DE"/>
        </w:rPr>
      </w:pPr>
      <w:bookmarkStart w:id="0" w:name="_Hlk97660673"/>
      <w:r>
        <w:rPr>
          <w:rFonts w:eastAsia="Arial Unicode MS" w:cs="Arial Unicode MS"/>
          <w:color w:val="000000"/>
          <w:sz w:val="20"/>
          <w:szCs w:val="20"/>
          <w:u w:val="none" w:color="000000"/>
          <w:lang w:val="de-DE"/>
        </w:rPr>
        <w:tab/>
        <w:t xml:space="preserve">  </w:t>
      </w:r>
      <w:bookmarkEnd w:id="0"/>
    </w:p>
    <w:p>
      <w:pPr>
        <w:pStyle w:val="Normal"/>
        <w:pBdr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pBdr/>
        <w:ind w:left="2268"/>
        <w:jc w:val="both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 xml:space="preserve">Pressemitteilung Nr. </w:t>
      </w:r>
      <w:r>
        <w:rPr>
          <w:lang w:val="de-DE"/>
        </w:rPr>
        <w:t>49/2024</w:t>
      </w:r>
    </w:p>
    <w:p>
      <w:pPr>
        <w:pStyle w:val="Normal"/>
        <w:ind w:left="2268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b/>
          <w:sz w:val="28"/>
          <w:szCs w:val="28"/>
          <w:lang w:val="de-DE"/>
        </w:rPr>
        <w:t>Die europäische Landwirtschaft angesichts des Risikos von Zollsätzen</w:t>
      </w:r>
    </w:p>
    <w:p>
      <w:pPr>
        <w:pStyle w:val="Normal"/>
        <w:ind w:left="2268"/>
        <w:jc w:val="both"/>
        <w:rPr>
          <w:b/>
          <w:i/>
          <w:i/>
          <w:lang w:val="de-DE"/>
        </w:rPr>
      </w:pPr>
      <w:r>
        <w:rPr>
          <w:b/>
          <w:i/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b/>
          <w:i/>
          <w:lang w:val="de-DE"/>
        </w:rPr>
        <w:t xml:space="preserve">Am dritten Tag der </w:t>
      </w:r>
      <w:r>
        <w:rPr>
          <w:b/>
          <w:i/>
          <w:lang w:val="de-DE"/>
        </w:rPr>
        <w:t xml:space="preserve">EIMA International </w:t>
      </w:r>
      <w:r>
        <w:rPr>
          <w:b/>
          <w:i/>
          <w:lang w:val="de-DE"/>
        </w:rPr>
        <w:t xml:space="preserve">haben die europäischen Parlamentarier über die Auswirkung für die europäische Landwirtschaft aufgrund des Green Deals und der Wiederwahl von </w:t>
      </w:r>
      <w:r>
        <w:rPr>
          <w:b/>
          <w:i/>
          <w:lang w:val="de-DE"/>
        </w:rPr>
        <w:t xml:space="preserve">Donald Trump </w:t>
      </w:r>
      <w:r>
        <w:rPr>
          <w:b/>
          <w:i/>
          <w:lang w:val="de-DE"/>
        </w:rPr>
        <w:t>gesprochen</w:t>
      </w:r>
      <w:r>
        <w:rPr>
          <w:b/>
          <w:i/>
          <w:lang w:val="de-DE"/>
        </w:rPr>
        <w:t xml:space="preserve">. </w:t>
      </w:r>
      <w:r>
        <w:rPr>
          <w:b/>
          <w:i/>
          <w:lang w:val="de-DE"/>
        </w:rPr>
        <w:t>Europa muss kompakter bei den Verhandlungen mit den USA und den anderen Wirtschaftspartnern auftreten</w:t>
      </w:r>
      <w:r>
        <w:rPr>
          <w:b/>
          <w:i/>
          <w:lang w:val="de-DE"/>
        </w:rPr>
        <w:t>.</w:t>
      </w:r>
    </w:p>
    <w:p>
      <w:pPr>
        <w:pStyle w:val="Normal"/>
        <w:ind w:left="2268"/>
        <w:jc w:val="both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>Der Ausgang der US-Wahl kann eine entscheidende Auswirkung auf die italienische und europäische Wirtschaft haben</w:t>
      </w:r>
      <w:r>
        <w:rPr>
          <w:lang w:val="de-DE"/>
        </w:rPr>
        <w:t>. „</w:t>
      </w:r>
      <w:r>
        <w:rPr>
          <w:lang w:val="de-DE"/>
        </w:rPr>
        <w:t>Eine eventuelle Einführung von Zollsätzen und neuen Ausrichtungen bei der Umwelt könnte den Bereich der landwirtschaftlichen Ernährung negativ beeinflussen, bei dem Europa 200 Milliarden Euro jährlich exportiert</w:t>
      </w:r>
      <w:r>
        <w:rPr>
          <w:lang w:val="de-DE"/>
        </w:rPr>
        <w:t xml:space="preserve">". </w:t>
      </w:r>
      <w:r>
        <w:rPr>
          <w:lang w:val="de-DE"/>
        </w:rPr>
        <w:t xml:space="preserve">Mit diesen Worten von </w:t>
      </w:r>
      <w:r>
        <w:rPr>
          <w:lang w:val="de-DE"/>
        </w:rPr>
        <w:t xml:space="preserve">Paolo De Castro – </w:t>
      </w:r>
      <w:r>
        <w:rPr>
          <w:lang w:val="de-DE"/>
        </w:rPr>
        <w:t xml:space="preserve">Vorsitzender von </w:t>
      </w:r>
      <w:r>
        <w:rPr>
          <w:lang w:val="de-DE"/>
        </w:rPr>
        <w:t xml:space="preserve">Filiera Italia – </w:t>
      </w:r>
      <w:r>
        <w:rPr>
          <w:lang w:val="de-DE"/>
        </w:rPr>
        <w:t xml:space="preserve">wurde die Tagung der europäischen Politik auf der </w:t>
      </w:r>
      <w:r>
        <w:rPr>
          <w:lang w:val="de-DE"/>
        </w:rPr>
        <w:t xml:space="preserve">EIMA International </w:t>
      </w:r>
      <w:r>
        <w:rPr>
          <w:lang w:val="de-DE"/>
        </w:rPr>
        <w:t>eröffnet</w:t>
      </w:r>
      <w:r>
        <w:rPr>
          <w:lang w:val="de-DE"/>
        </w:rPr>
        <w:t xml:space="preserve">, </w:t>
      </w:r>
      <w:r>
        <w:rPr>
          <w:lang w:val="de-DE"/>
        </w:rPr>
        <w:t>der Weltschau der Landtechnik in Bologna</w:t>
      </w:r>
      <w:r>
        <w:rPr>
          <w:lang w:val="de-DE"/>
        </w:rPr>
        <w:t xml:space="preserve">. "Europa </w:t>
      </w:r>
      <w:r>
        <w:rPr>
          <w:lang w:val="de-DE"/>
        </w:rPr>
        <w:t xml:space="preserve">hat den Weg des </w:t>
      </w:r>
      <w:r>
        <w:rPr>
          <w:lang w:val="de-DE"/>
        </w:rPr>
        <w:t xml:space="preserve">Green Deal </w:t>
      </w:r>
      <w:r>
        <w:rPr>
          <w:lang w:val="de-DE"/>
        </w:rPr>
        <w:t>eingeschlagen –</w:t>
      </w:r>
      <w:r>
        <w:rPr>
          <w:lang w:val="de-DE"/>
        </w:rPr>
        <w:t xml:space="preserve"> </w:t>
      </w:r>
      <w:r>
        <w:rPr>
          <w:lang w:val="de-DE"/>
        </w:rPr>
        <w:t xml:space="preserve">betonte </w:t>
      </w:r>
      <w:r>
        <w:rPr>
          <w:lang w:val="de-DE"/>
        </w:rPr>
        <w:t xml:space="preserve">De Castro – </w:t>
      </w:r>
      <w:r>
        <w:rPr>
          <w:lang w:val="de-DE"/>
        </w:rPr>
        <w:t>und die Frage, die wir uns heute stellen sollten, ist, ob es möglich sein wird, dies mit den Zielsetzungen der Trump-Administration zu vereinbaren</w:t>
      </w:r>
      <w:r>
        <w:rPr>
          <w:lang w:val="de-DE"/>
        </w:rPr>
        <w:t xml:space="preserve">". </w:t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 xml:space="preserve">Das Thema der umweltpolitischen Maßnahmen erscheint als eine der </w:t>
      </w:r>
      <w:r>
        <w:rPr>
          <w:lang w:val="de-DE"/>
        </w:rPr>
        <w:t>schwierigsten Fragen gegenwärtig in Europa</w:t>
      </w:r>
      <w:r>
        <w:rPr>
          <w:lang w:val="de-DE"/>
        </w:rPr>
        <w:t xml:space="preserve"> – </w:t>
      </w:r>
      <w:r>
        <w:rPr>
          <w:lang w:val="de-DE"/>
        </w:rPr>
        <w:t xml:space="preserve">erklärte der Vorsitzende des Landwirtschaftsverbandes und des </w:t>
      </w:r>
      <w:r>
        <w:rPr>
          <w:lang w:val="de-DE"/>
        </w:rPr>
        <w:t xml:space="preserve">Copa Massimiliano Giansanti – </w:t>
      </w:r>
      <w:r>
        <w:rPr>
          <w:lang w:val="de-DE"/>
        </w:rPr>
        <w:t>angesichts der Tatsache, dass die Biden-Administration fast 200 Milliarden Dollar für die ökologische Transaktion bereitgestellt hat, die von den Landwirten der USA nicht beansprucht wurden, um nicht das eigene Produktionsmodell zu verändern</w:t>
      </w:r>
      <w:r>
        <w:rPr>
          <w:lang w:val="de-DE"/>
        </w:rPr>
        <w:t xml:space="preserve">. </w:t>
      </w:r>
      <w:r>
        <w:rPr>
          <w:lang w:val="de-DE"/>
        </w:rPr>
        <w:t xml:space="preserve">Die italienischen Landwirte sind nicht vom </w:t>
      </w:r>
      <w:r>
        <w:rPr>
          <w:lang w:val="de-DE"/>
        </w:rPr>
        <w:t xml:space="preserve">Green Deal </w:t>
      </w:r>
      <w:r>
        <w:rPr>
          <w:lang w:val="de-DE"/>
        </w:rPr>
        <w:t xml:space="preserve">abgeneigt </w:t>
      </w:r>
      <w:r>
        <w:rPr>
          <w:lang w:val="de-DE"/>
        </w:rPr>
        <w:t xml:space="preserve">– </w:t>
      </w:r>
      <w:r>
        <w:rPr>
          <w:lang w:val="de-DE"/>
        </w:rPr>
        <w:t xml:space="preserve">so </w:t>
      </w:r>
      <w:r>
        <w:rPr>
          <w:lang w:val="de-DE"/>
        </w:rPr>
        <w:t xml:space="preserve">Luigi Scordamaglia, </w:t>
      </w:r>
      <w:r>
        <w:rPr>
          <w:lang w:val="de-DE"/>
        </w:rPr>
        <w:t xml:space="preserve">Vorsitzender von </w:t>
      </w:r>
      <w:r>
        <w:rPr>
          <w:lang w:val="de-DE"/>
        </w:rPr>
        <w:t xml:space="preserve">Eat Europe – </w:t>
      </w:r>
      <w:r>
        <w:rPr>
          <w:lang w:val="de-DE"/>
        </w:rPr>
        <w:t>sie fordern jedoch, dass der Grundsatz der Gegenseitigkeit angewendet wird, um den unlauteren Wettbewerb von Ländern mit niedrigeren Qualitätsstandards zu vermeiden</w:t>
      </w:r>
      <w:r>
        <w:rPr>
          <w:lang w:val="de-DE"/>
        </w:rPr>
        <w:t xml:space="preserve">. </w:t>
      </w:r>
      <w:r>
        <w:rPr>
          <w:lang w:val="de-DE"/>
        </w:rPr>
        <w:t>Das Umweltthema</w:t>
      </w:r>
      <w:r>
        <w:rPr>
          <w:lang w:val="de-DE"/>
        </w:rPr>
        <w:t xml:space="preserve"> – </w:t>
      </w:r>
      <w:r>
        <w:rPr>
          <w:lang w:val="de-DE"/>
        </w:rPr>
        <w:t>wie aus dem Treffen in Bologna hervorgeht</w:t>
      </w:r>
      <w:r>
        <w:rPr>
          <w:lang w:val="de-DE"/>
        </w:rPr>
        <w:t xml:space="preserve"> – </w:t>
      </w:r>
      <w:r>
        <w:rPr>
          <w:lang w:val="de-DE"/>
        </w:rPr>
        <w:t>ist eng mit jenem der Landwirtschaft verbunden</w:t>
      </w:r>
      <w:r>
        <w:rPr>
          <w:lang w:val="de-DE"/>
        </w:rPr>
        <w:t xml:space="preserve">, </w:t>
      </w:r>
      <w:r>
        <w:rPr>
          <w:lang w:val="de-DE"/>
        </w:rPr>
        <w:t>da der Umweltschutz ein integraler Bestandteil des europäischen Landwirtschaftsmodells ist, den die Europäische Union verteidigen muss</w:t>
      </w:r>
      <w:r>
        <w:rPr>
          <w:lang w:val="de-DE"/>
        </w:rPr>
        <w:t xml:space="preserve">. </w:t>
      </w:r>
      <w:r>
        <w:rPr>
          <w:lang w:val="de-DE"/>
        </w:rPr>
        <w:t>Die Landwirtschaft kommt von schwierigen Jahren –</w:t>
      </w:r>
      <w:r>
        <w:rPr>
          <w:lang w:val="de-DE"/>
        </w:rPr>
        <w:t xml:space="preserve"> </w:t>
      </w:r>
      <w:r>
        <w:rPr>
          <w:lang w:val="de-DE"/>
        </w:rPr>
        <w:t xml:space="preserve">so </w:t>
      </w:r>
      <w:r>
        <w:rPr>
          <w:lang w:val="de-DE"/>
        </w:rPr>
        <w:t xml:space="preserve">Herbert Dorfman, </w:t>
      </w:r>
      <w:r>
        <w:rPr>
          <w:lang w:val="de-DE"/>
        </w:rPr>
        <w:t>Mitglied der Kommission Landwirtschaft des E</w:t>
      </w:r>
      <w:r>
        <w:rPr>
          <w:lang w:val="de-DE"/>
        </w:rPr>
        <w:t>urop</w:t>
      </w:r>
      <w:r>
        <w:rPr>
          <w:lang w:val="de-DE"/>
        </w:rPr>
        <w:t>a-</w:t>
      </w:r>
      <w:r>
        <w:rPr>
          <w:lang w:val="de-DE"/>
        </w:rPr>
        <w:t>P</w:t>
      </w:r>
      <w:r>
        <w:rPr>
          <w:lang w:val="de-DE"/>
        </w:rPr>
        <w:t>arlaments</w:t>
      </w:r>
      <w:r>
        <w:rPr>
          <w:lang w:val="de-DE"/>
        </w:rPr>
        <w:t xml:space="preserve"> – </w:t>
      </w:r>
      <w:r>
        <w:rPr>
          <w:lang w:val="de-DE"/>
        </w:rPr>
        <w:t>auch aufgrund des Klima- und Wetterfaktors</w:t>
      </w:r>
      <w:r>
        <w:rPr>
          <w:lang w:val="de-DE"/>
        </w:rPr>
        <w:t xml:space="preserve">, </w:t>
      </w:r>
      <w:r>
        <w:rPr>
          <w:lang w:val="de-DE"/>
        </w:rPr>
        <w:t>und es wäre ein schwerwiegender Fehler, die Klimaveränderung zu leugnen</w:t>
      </w:r>
      <w:r>
        <w:rPr>
          <w:lang w:val="de-DE"/>
        </w:rPr>
        <w:t xml:space="preserve">. </w:t>
      </w:r>
      <w:r>
        <w:rPr>
          <w:lang w:val="de-DE"/>
        </w:rPr>
        <w:t>Ebenso falsch wäre, die gegenwärtigen Ausrichtungen radikal zu verändern, denn die politischen Maßnahmen für die Landwirtschaft haben sich bis heute zum Großteil bewährt</w:t>
      </w:r>
      <w:r>
        <w:rPr>
          <w:lang w:val="de-DE"/>
        </w:rPr>
        <w:t>.</w:t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>Zum Thema Zoll</w:t>
      </w:r>
      <w:r>
        <w:rPr>
          <w:lang w:val="de-DE"/>
        </w:rPr>
        <w:t xml:space="preserve">sätze meldete sich auch </w:t>
      </w:r>
      <w:r>
        <w:rPr>
          <w:lang w:val="de-DE"/>
        </w:rPr>
        <w:t xml:space="preserve">Carlo Fidanza, </w:t>
      </w:r>
      <w:r>
        <w:rPr>
          <w:lang w:val="de-DE"/>
        </w:rPr>
        <w:t>Mitglied der Kommission Landwirtschaft des EP, der die Bedeutung der Frage anerkannt hat, jedoch die Tatsache unterstrichen hat, dass die erste Trump-Präsidentschaft sie selektiv angewendet hat</w:t>
      </w:r>
      <w:r>
        <w:rPr>
          <w:lang w:val="de-DE"/>
        </w:rPr>
        <w:t xml:space="preserve">, </w:t>
      </w:r>
      <w:r>
        <w:rPr>
          <w:lang w:val="de-DE"/>
        </w:rPr>
        <w:t>auch auf der Grundlage von bilateralen Abkommen zwischen den Ländern, und dass Italien eine politische Rolle übernehmen kann, um die eigenen Interessen im Bereich der landwirtschaftlichen Nahrungsmittelindustrie verteidigen zu können</w:t>
      </w:r>
      <w:r>
        <w:rPr>
          <w:lang w:val="de-DE"/>
        </w:rPr>
        <w:t xml:space="preserve">. </w:t>
      </w:r>
      <w:r>
        <w:rPr>
          <w:lang w:val="de-DE"/>
        </w:rPr>
        <w:t xml:space="preserve">Hinsichtlich der Zollsätze hat </w:t>
      </w:r>
      <w:r>
        <w:rPr>
          <w:lang w:val="de-DE"/>
        </w:rPr>
        <w:t xml:space="preserve">Dario Nardella, </w:t>
      </w:r>
      <w:r>
        <w:rPr>
          <w:lang w:val="de-DE"/>
        </w:rPr>
        <w:t>ebenfalls Mitglied der Kommission Landwirtschaft des EP</w:t>
      </w:r>
      <w:r>
        <w:rPr>
          <w:lang w:val="de-DE"/>
        </w:rPr>
        <w:t xml:space="preserve"> </w:t>
      </w:r>
      <w:r>
        <w:rPr>
          <w:lang w:val="de-DE"/>
        </w:rPr>
        <w:t>hingegen Befürchtungen geäußert</w:t>
      </w:r>
      <w:r>
        <w:rPr>
          <w:lang w:val="de-DE"/>
        </w:rPr>
        <w:t xml:space="preserve">, </w:t>
      </w:r>
      <w:r>
        <w:rPr>
          <w:lang w:val="de-DE"/>
        </w:rPr>
        <w:t>da er die Gefahr einer Kluft zwischen den europäischen Ländern über die handelspolitischen Maßnahmen anmahnt</w:t>
      </w:r>
      <w:r>
        <w:rPr>
          <w:lang w:val="de-DE"/>
        </w:rPr>
        <w:t xml:space="preserve">. </w:t>
      </w:r>
      <w:r>
        <w:rPr>
          <w:lang w:val="de-DE"/>
        </w:rPr>
        <w:t xml:space="preserve">Wenn sich Italien eine Vorzugsbehandlung von der Regierung der USA erhofft </w:t>
      </w:r>
      <w:r>
        <w:rPr>
          <w:lang w:val="de-DE"/>
        </w:rPr>
        <w:t xml:space="preserve">– </w:t>
      </w:r>
      <w:r>
        <w:rPr>
          <w:lang w:val="de-DE"/>
        </w:rPr>
        <w:t xml:space="preserve">bekräftigte </w:t>
      </w:r>
      <w:r>
        <w:rPr>
          <w:lang w:val="de-DE"/>
        </w:rPr>
        <w:t xml:space="preserve">Nardella – </w:t>
      </w:r>
      <w:r>
        <w:rPr>
          <w:lang w:val="de-DE"/>
        </w:rPr>
        <w:t>würde das Land einen strategischen Fehler begehen, denn der einzig effektive Bilateralismus ist jener zwischen den Vereinigten Staaten und der Europäischen Union</w:t>
      </w:r>
      <w:r>
        <w:rPr>
          <w:lang w:val="de-DE"/>
        </w:rPr>
        <w:t xml:space="preserve">, </w:t>
      </w:r>
      <w:r>
        <w:rPr>
          <w:lang w:val="de-DE"/>
        </w:rPr>
        <w:t>die allerdings die eigenen Entscheidungsprozesse straffer gestalten muss. In einem derart komplexen und vom Wettbewerb geprägten Szenario nimmt die Technologie einen immer mehr strategischen Wert ein</w:t>
      </w:r>
      <w:r>
        <w:rPr>
          <w:lang w:val="de-DE"/>
        </w:rPr>
        <w:t xml:space="preserve">. </w:t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 xml:space="preserve">Zu diesem Punkt äußerte sich der stellvertretende Vorsitzende der </w:t>
      </w:r>
      <w:r>
        <w:rPr>
          <w:lang w:val="de-DE"/>
        </w:rPr>
        <w:t xml:space="preserve">CEMA Alessandro Malavolti, </w:t>
      </w:r>
      <w:r>
        <w:rPr>
          <w:lang w:val="de-DE"/>
        </w:rPr>
        <w:t>der die Führungsstellung der italienischen und europäischen Industrie hervorhob</w:t>
      </w:r>
      <w:r>
        <w:rPr>
          <w:lang w:val="de-DE"/>
        </w:rPr>
        <w:t xml:space="preserve">. </w:t>
      </w:r>
      <w:r>
        <w:rPr>
          <w:lang w:val="de-DE"/>
        </w:rPr>
        <w:t>In diesen Jahren erlebte ich einen beeindruckenden Zuwachs der Technologien in der Landtechnik</w:t>
      </w:r>
      <w:r>
        <w:rPr>
          <w:lang w:val="de-DE"/>
        </w:rPr>
        <w:t xml:space="preserve">, </w:t>
      </w:r>
      <w:r>
        <w:rPr>
          <w:lang w:val="de-DE"/>
        </w:rPr>
        <w:t xml:space="preserve">die zusätzlich durch die digitalen System der letzten Generation verstärkt wurden </w:t>
      </w:r>
      <w:r>
        <w:rPr>
          <w:lang w:val="de-DE"/>
        </w:rPr>
        <w:t xml:space="preserve"> - </w:t>
      </w:r>
      <w:r>
        <w:rPr>
          <w:lang w:val="de-DE"/>
        </w:rPr>
        <w:t xml:space="preserve">erklärte </w:t>
      </w:r>
      <w:r>
        <w:rPr>
          <w:lang w:val="de-DE"/>
        </w:rPr>
        <w:t xml:space="preserve">Malavolti – </w:t>
      </w:r>
      <w:r>
        <w:rPr>
          <w:lang w:val="de-DE"/>
        </w:rPr>
        <w:t>es sei laut den europäischen Herstellern wünschenswert, dass sie freien Zugang zu den internationalen Märkten haben werden, gerade weil sie die eigenen Lösungen zur Geltung bringen</w:t>
      </w:r>
      <w:r>
        <w:rPr>
          <w:lang w:val="de-DE"/>
        </w:rPr>
        <w:t xml:space="preserve">. </w:t>
      </w:r>
      <w:r>
        <w:rPr>
          <w:lang w:val="de-DE"/>
        </w:rPr>
        <w:t>Das heutige Risiko –</w:t>
      </w:r>
      <w:r>
        <w:rPr>
          <w:lang w:val="de-DE"/>
        </w:rPr>
        <w:t xml:space="preserve"> </w:t>
      </w:r>
      <w:r>
        <w:rPr>
          <w:lang w:val="de-DE"/>
        </w:rPr>
        <w:t xml:space="preserve">erklärte in seiner Rede </w:t>
      </w:r>
      <w:r>
        <w:rPr>
          <w:lang w:val="de-DE"/>
        </w:rPr>
        <w:t>Stefano Bonaccini (</w:t>
      </w:r>
      <w:r>
        <w:rPr>
          <w:lang w:val="de-DE"/>
        </w:rPr>
        <w:t>Kommission Landwirtschaft des EP</w:t>
      </w:r>
      <w:r>
        <w:rPr>
          <w:lang w:val="de-DE"/>
        </w:rPr>
        <w:t>)</w:t>
      </w:r>
      <w:r>
        <w:rPr>
          <w:rFonts w:ascii="Calibri" w:hAnsi="Calibri"/>
          <w:lang w:val="de-DE"/>
        </w:rPr>
        <w:t xml:space="preserve"> –</w:t>
      </w:r>
      <w:r>
        <w:rPr>
          <w:lang w:val="de-DE"/>
        </w:rPr>
        <w:t xml:space="preserve"> </w:t>
      </w:r>
      <w:r>
        <w:rPr>
          <w:lang w:val="de-DE"/>
        </w:rPr>
        <w:t>besteht darin, dass die Mitgliedsstaaten eine Politik der bilateralen Abkommen mit den USA praktizieren, die Europa unweigerlich zersetzen sowie den Zusammenhalt und Kohäsion unterminieren würde</w:t>
      </w:r>
      <w:r>
        <w:rPr>
          <w:lang w:val="de-DE"/>
        </w:rPr>
        <w:t xml:space="preserve">. </w:t>
      </w:r>
      <w:r>
        <w:rPr>
          <w:lang w:val="de-DE"/>
        </w:rPr>
        <w:t xml:space="preserve">Ich hoffe, dass wir gemeinsam in dieselbe Richtung arbeiten werden </w:t>
      </w:r>
      <w:r>
        <w:rPr>
          <w:lang w:val="de-DE"/>
        </w:rPr>
        <w:t xml:space="preserve">– </w:t>
      </w:r>
      <w:r>
        <w:rPr>
          <w:lang w:val="de-DE"/>
        </w:rPr>
        <w:t xml:space="preserve">so abschließend </w:t>
      </w:r>
      <w:r>
        <w:rPr>
          <w:lang w:val="de-DE"/>
        </w:rPr>
        <w:t xml:space="preserve">Bonaccini – </w:t>
      </w:r>
      <w:r>
        <w:rPr>
          <w:lang w:val="de-DE"/>
        </w:rPr>
        <w:t>um die europäischen und italienischen Interessen zu verteidigen</w:t>
      </w:r>
      <w:r>
        <w:rPr>
          <w:lang w:val="de-DE"/>
        </w:rPr>
        <w:t xml:space="preserve">. </w:t>
      </w:r>
      <w:r>
        <w:rPr>
          <w:lang w:val="de-DE"/>
        </w:rPr>
        <w:t xml:space="preserve">Das Treffen war eines der Highlights der Anwesenheit der Delegation </w:t>
      </w:r>
      <w:r>
        <w:rPr>
          <w:lang w:val="de-DE"/>
        </w:rPr>
        <w:t xml:space="preserve">des EU-Parlamentes auf der </w:t>
      </w:r>
      <w:r>
        <w:rPr>
          <w:lang w:val="de-DE"/>
        </w:rPr>
        <w:t xml:space="preserve">EIMA, </w:t>
      </w:r>
      <w:r>
        <w:rPr>
          <w:lang w:val="de-DE"/>
        </w:rPr>
        <w:t xml:space="preserve">der auch </w:t>
      </w:r>
      <w:r>
        <w:rPr>
          <w:lang w:val="de-DE"/>
        </w:rPr>
        <w:t xml:space="preserve">Stefano Cavedagna </w:t>
      </w:r>
      <w:r>
        <w:rPr>
          <w:lang w:val="de-DE"/>
        </w:rPr>
        <w:t xml:space="preserve">und </w:t>
      </w:r>
      <w:r>
        <w:rPr>
          <w:lang w:val="de-DE"/>
        </w:rPr>
        <w:t>Pierfrancesco Maran (IMCO-</w:t>
      </w:r>
      <w:r>
        <w:rPr>
          <w:lang w:val="de-DE"/>
        </w:rPr>
        <w:t>Kommission</w:t>
      </w:r>
      <w:r>
        <w:rPr>
          <w:lang w:val="de-DE"/>
        </w:rPr>
        <w:t xml:space="preserve">, </w:t>
      </w:r>
      <w:r>
        <w:rPr>
          <w:lang w:val="de-DE"/>
        </w:rPr>
        <w:t>Binnenmarkt</w:t>
      </w:r>
      <w:r>
        <w:rPr>
          <w:lang w:val="de-DE"/>
        </w:rPr>
        <w:t>), Salvatore De Meo (AGRI-</w:t>
      </w:r>
      <w:r>
        <w:rPr>
          <w:lang w:val="de-DE"/>
        </w:rPr>
        <w:t>Kommission</w:t>
      </w:r>
      <w:r>
        <w:rPr>
          <w:lang w:val="de-DE"/>
        </w:rPr>
        <w:t xml:space="preserve">, </w:t>
      </w:r>
      <w:r>
        <w:rPr>
          <w:lang w:val="de-DE"/>
        </w:rPr>
        <w:t>Landwirtschaft</w:t>
      </w:r>
      <w:r>
        <w:rPr>
          <w:lang w:val="de-DE"/>
        </w:rPr>
        <w:t xml:space="preserve">), Elisabetta Gualmini </w:t>
      </w:r>
      <w:r>
        <w:rPr>
          <w:lang w:val="de-DE"/>
        </w:rPr>
        <w:t xml:space="preserve">und </w:t>
      </w:r>
      <w:r>
        <w:rPr>
          <w:lang w:val="de-DE"/>
        </w:rPr>
        <w:t>Mariateresa Vivaldini (ITRE-</w:t>
      </w:r>
      <w:r>
        <w:rPr>
          <w:lang w:val="de-DE"/>
        </w:rPr>
        <w:t>Kommission</w:t>
      </w:r>
      <w:r>
        <w:rPr>
          <w:lang w:val="de-DE"/>
        </w:rPr>
        <w:t>, Industri</w:t>
      </w:r>
      <w:r>
        <w:rPr>
          <w:lang w:val="de-DE"/>
        </w:rPr>
        <w:t>e</w:t>
      </w:r>
      <w:r>
        <w:rPr>
          <w:lang w:val="de-DE"/>
        </w:rPr>
        <w:t xml:space="preserve">) </w:t>
      </w:r>
      <w:r>
        <w:rPr>
          <w:lang w:val="de-DE"/>
        </w:rPr>
        <w:t>angehören</w:t>
      </w:r>
      <w:r>
        <w:rPr>
          <w:lang w:val="de-DE"/>
        </w:rPr>
        <w:t xml:space="preserve">, </w:t>
      </w:r>
      <w:r>
        <w:rPr>
          <w:lang w:val="de-DE"/>
        </w:rPr>
        <w:t xml:space="preserve">wobei die Delegation dann die überfüllten Pavillons der Ausstellung besucht haben; dabei verweilten sie im Außenbereich, wo die Europa-Abgeordneten sogar einige Traktoren ausprobiert haben, die am Finale des </w:t>
      </w:r>
      <w:r>
        <w:rPr>
          <w:lang w:val="de-DE"/>
        </w:rPr>
        <w:t xml:space="preserve">Tractor of the Year </w:t>
      </w:r>
      <w:r>
        <w:rPr>
          <w:lang w:val="de-DE"/>
        </w:rPr>
        <w:t>teilgenommen haben</w:t>
      </w:r>
      <w:r>
        <w:rPr>
          <w:lang w:val="de-DE"/>
        </w:rPr>
        <w:t xml:space="preserve">. </w:t>
      </w:r>
    </w:p>
    <w:p>
      <w:pPr>
        <w:pStyle w:val="Normal"/>
        <w:ind w:left="2127" w:right="-150"/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</w:r>
    </w:p>
    <w:p>
      <w:pPr>
        <w:pStyle w:val="Normal"/>
        <w:ind w:left="2127" w:right="-150"/>
        <w:jc w:val="both"/>
        <w:rPr>
          <w:lang w:val="de-DE"/>
        </w:rPr>
      </w:pPr>
      <w:r>
        <w:rPr>
          <w:b/>
          <w:bCs/>
          <w:i/>
          <w:iCs/>
          <w:sz w:val="23"/>
          <w:szCs w:val="23"/>
          <w:lang w:val="de-DE"/>
        </w:rPr>
        <w:t xml:space="preserve">  </w:t>
      </w:r>
      <w:r>
        <w:rPr>
          <w:b/>
          <w:bCs/>
          <w:i/>
          <w:iCs/>
          <w:sz w:val="23"/>
          <w:szCs w:val="23"/>
          <w:lang w:val="de-DE"/>
        </w:rPr>
        <w:t xml:space="preserve">Bologna, </w:t>
      </w:r>
      <w:r>
        <w:rPr>
          <w:b/>
          <w:bCs/>
          <w:i/>
          <w:iCs/>
          <w:sz w:val="23"/>
          <w:szCs w:val="23"/>
          <w:lang w:val="de-DE"/>
        </w:rPr>
        <w:t xml:space="preserve">den 8. November </w:t>
      </w:r>
      <w:r>
        <w:rPr>
          <w:b/>
          <w:bCs/>
          <w:i/>
          <w:iCs/>
          <w:sz w:val="23"/>
          <w:szCs w:val="23"/>
          <w:lang w:val="de-DE"/>
        </w:rPr>
        <w:t>2024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20" w:top="1418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-681990</wp:posOffset>
          </wp:positionH>
          <wp:positionV relativeFrom="paragraph">
            <wp:posOffset>-419100</wp:posOffset>
          </wp:positionV>
          <wp:extent cx="7524750" cy="10648315"/>
          <wp:effectExtent l="0" t="0" r="0" b="0"/>
          <wp:wrapNone/>
          <wp:docPr id="1" name="Immagine 142089580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42089580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4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-681990</wp:posOffset>
          </wp:positionH>
          <wp:positionV relativeFrom="paragraph">
            <wp:posOffset>-419100</wp:posOffset>
          </wp:positionV>
          <wp:extent cx="7524750" cy="10648315"/>
          <wp:effectExtent l="0" t="0" r="0" b="0"/>
          <wp:wrapNone/>
          <wp:docPr id="2" name="Immagine 142089580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2089580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4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val="bestFit" w:percent="178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ind w:hanging="567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ind w:hanging="141" w:left="-426" w:right="-427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4d7dc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7dcb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rminedefinizione" w:customStyle="1">
    <w:name w:val="Termine definizione"/>
    <w:basedOn w:val="Normal"/>
    <w:next w:val="Normal"/>
    <w:qFormat/>
    <w:pPr/>
    <w:rPr/>
  </w:style>
  <w:style w:type="paragraph" w:styleId="BodyTextIndent">
    <w:name w:val="Body Text Indent"/>
    <w:basedOn w:val="Normal"/>
    <w:pPr>
      <w:ind w:left="-567"/>
    </w:pPr>
    <w:rPr>
      <w:sz w:val="28"/>
    </w:rPr>
  </w:style>
  <w:style w:type="paragraph" w:styleId="Ntestoita" w:customStyle="1">
    <w:name w:val="ntestoita"/>
    <w:basedOn w:val="Normal"/>
    <w:qFormat/>
    <w:rsid w:val="0088201c"/>
    <w:pPr>
      <w:spacing w:beforeAutospacing="1" w:afterAutospacing="1"/>
    </w:pPr>
    <w:rPr/>
  </w:style>
  <w:style w:type="paragraph" w:styleId="Xmsonormal" w:customStyle="1">
    <w:name w:val="x_msonormal"/>
    <w:basedOn w:val="Normal"/>
    <w:qFormat/>
    <w:rsid w:val="002205d6"/>
    <w:pPr>
      <w:spacing w:beforeAutospacing="1" w:afterAutospacing="1"/>
    </w:pPr>
    <w:rPr>
      <w14:ligatures w14:val="standardContextual"/>
    </w:rPr>
  </w:style>
  <w:style w:type="paragraph" w:styleId="Whitespace-pre-wrap" w:customStyle="1">
    <w:name w:val="whitespace-pre-wrap"/>
    <w:basedOn w:val="Normal"/>
    <w:qFormat/>
    <w:rsid w:val="00451607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LibreOffice/24.2.0.3$Windows_X86_64 LibreOffice_project/da48488a73ddd66ea24cf16bbc4f7b9c08e9bea1</Application>
  <AppVersion>15.0000</AppVersion>
  <Pages>2</Pages>
  <Words>701</Words>
  <Characters>4634</Characters>
  <CharactersWithSpaces>5356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2024-11-08T17:49:00Z</dcterms:created>
  <dc:creator>Errepi srl</dc:creator>
  <dc:description/>
  <dc:language>it-IT</dc:language>
  <cp:lastModifiedBy/>
  <cp:lastPrinted>2024-11-08T15:16:00Z</cp:lastPrinted>
  <dcterms:modified xsi:type="dcterms:W3CDTF">2024-11-09T08:47:13Z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